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2011 30 vom 6. Juni 2011</w:t>
      </w:r>
    </w:p>
    <w:p>
      <w:r>
        <w:t>GR Gerichte, 2011-06-06, DE</w:t>
      </w:r>
    </w:p>
    <w:p>
      <w:r>
        <w:rPr>
          <w:b/>
        </w:rPr>
        <w:t xml:space="preserve">Quelle: </w:t>
      </w:r>
      <w:r>
        <w:t>https://mcp.opencaselaw.ch/entscheid/gr_gerichte_KSK 2011 30</w:t>
      </w:r>
    </w:p>
    <w:p>
      <w:r>
        <w:t>FR: GR_GERICHTE KSK 2011 30 du 6 juin 2011</w:t>
      </w:r>
    </w:p>
    <w:p>
      <w:r>
        <w:t>IT: GR_GERICHTE KSK 2011 30 del 6 giugno 2011</w:t>
      </w:r>
    </w:p>
    <w:p>
      <w:pPr>
        <w:pStyle w:val="Heading2"/>
      </w:pPr>
      <w:r>
        <w:t>Regeste</w:t>
      </w:r>
    </w:p>
    <w:p>
      <w:r>
        <w:t>Zustellung von Zahlungsbefehlen / Wiederherstellung einer Frist | Aufsicht Beschwerde (SchKG 17 Abs. 1)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Betreibungsbegehren (Betr.Nr. 1) der X. AG, O. gegen: prakt. med. A. und Dr. B., Q., über Fr. 89'572.60 für Medikamentenbezüge nebst Zins zu 5% seit dem 1. Februar 2003,</w:t>
      </w:r>
    </w:p>
    <w:p>
      <w:r>
        <w:rPr>
          <w:b/>
        </w:rPr>
        <w:t>E. 2</w:t>
      </w:r>
    </w:p>
    <w:p>
      <w:r>
        <w:t>Betreibungsbegehren (Betr.Nr. 2) der Y., O. gegen: prakt. med. A. und Dr. B., Q., über Fr. 223'903.65 für Medikamentenbezüge nebst Zins zu 5% seit dem 1. Mai 2005,</w:t>
      </w:r>
    </w:p>
    <w:p>
      <w:r>
        <w:rPr>
          <w:b/>
        </w:rPr>
        <w:t>E. 3</w:t>
      </w:r>
    </w:p>
    <w:p>
      <w:r>
        <w:t>Betreibungsbegehren (Betr.Nr. 3) der Y., O. gegen: prakt. med. A., Q., über Fr. 97'444.45 für Medikamentenbezüge nebst Zins zu 5% seit dem 1. Juni 2009,</w:t>
      </w:r>
    </w:p>
    <w:p>
      <w:r>
        <w:rPr>
          <w:b/>
        </w:rPr>
        <w:t>E. 4</w:t>
      </w:r>
    </w:p>
    <w:p>
      <w:r>
        <w:t>Gemäss Art. 61 Abs. 2 lit. a der Gebührenverordnung zum Bundesgesetz über Schuldbetreibung und Konkurs (GebV SchKG, SR 281.35) ist das</w:t>
      </w:r>
    </w:p>
    <w:p>
      <w:r>
        <w:t>Seite 11 — 12 Beschwerdeverfahren gemäss Art. 17 SchKG unentgeltlich, so dass die Kosten dieses Verfahrens in Höhe von Fr. 800.– zu Lasten des Kantons Graubünden gehen.</w:t>
      </w:r>
    </w:p>
    <w:p>
      <w:r>
        <w:t>Seite 12 — 12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